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宋体" w:hAnsi="宋体" w:eastAsia="宋体" w:cs="宋体"/>
          <w:color w:val="333333"/>
          <w:kern w:val="0"/>
          <w:sz w:val="36"/>
          <w:szCs w:val="36"/>
        </w:rPr>
      </w:pPr>
      <w:r>
        <w:rPr>
          <w:rFonts w:hint="eastAsia" w:ascii="华文中宋" w:hAnsi="华文中宋" w:eastAsia="华文中宋" w:cs="宋体"/>
          <w:color w:val="333333"/>
          <w:spacing w:val="-20"/>
          <w:kern w:val="0"/>
          <w:sz w:val="36"/>
          <w:szCs w:val="36"/>
        </w:rPr>
        <w:t>安徽财经大学课程替代和学分认定管理暂行办法（节选）</w:t>
      </w:r>
    </w:p>
    <w:p>
      <w:pPr>
        <w:widowControl/>
        <w:shd w:val="clear" w:color="auto" w:fill="FFFFFF"/>
        <w:spacing w:line="640" w:lineRule="atLeast"/>
        <w:ind w:firstLine="640"/>
        <w:jc w:val="left"/>
        <w:rPr>
          <w:rFonts w:hint="eastAsia" w:ascii="仿宋" w:hAnsi="仿宋" w:eastAsia="仿宋" w:cs="宋体"/>
          <w:color w:val="333333"/>
          <w:kern w:val="0"/>
          <w:sz w:val="32"/>
          <w:szCs w:val="32"/>
        </w:rPr>
      </w:pPr>
    </w:p>
    <w:p>
      <w:pPr>
        <w:widowControl/>
        <w:shd w:val="clear" w:color="auto" w:fill="FFFFFF"/>
        <w:spacing w:line="560" w:lineRule="exact"/>
        <w:ind w:firstLine="640"/>
        <w:jc w:val="left"/>
        <w:rPr>
          <w:rFonts w:hint="eastAsia" w:ascii="宋体" w:hAnsi="宋体" w:eastAsia="宋体" w:cs="宋体"/>
          <w:color w:val="333333"/>
          <w:kern w:val="0"/>
          <w:sz w:val="28"/>
          <w:szCs w:val="28"/>
          <w:shd w:val="clear" w:color="auto" w:fill="auto"/>
        </w:rPr>
      </w:pPr>
      <w:r>
        <w:rPr>
          <w:rFonts w:hint="eastAsia" w:ascii="宋体" w:hAnsi="宋体" w:eastAsia="宋体" w:cs="宋体"/>
          <w:color w:val="333333"/>
          <w:kern w:val="0"/>
          <w:sz w:val="28"/>
          <w:szCs w:val="28"/>
          <w:shd w:val="clear" w:color="auto" w:fill="auto"/>
        </w:rPr>
        <w:t>为进一步完善和推动学分制实施办法，健全本科教学运行管理体系，加强本科课程的管理，充分调动学生学习的主动性和积极性，因材施教，促进个性化教学，体现“以学生为本”的教学管理理念，对学生转专业或专业分流、校际交流、学籍异动以及参加特色项目培养等原因需进行课程替代和学分认定，特制定本办法。</w:t>
      </w:r>
    </w:p>
    <w:p>
      <w:pPr>
        <w:widowControl/>
        <w:shd w:val="clear" w:color="auto" w:fill="FFFFFF"/>
        <w:spacing w:line="560" w:lineRule="exact"/>
        <w:ind w:firstLine="643"/>
        <w:jc w:val="left"/>
        <w:rPr>
          <w:rFonts w:hint="eastAsia" w:ascii="宋体" w:hAnsi="宋体" w:eastAsia="宋体" w:cs="宋体"/>
          <w:color w:val="333333"/>
          <w:kern w:val="0"/>
          <w:sz w:val="28"/>
          <w:szCs w:val="28"/>
          <w:shd w:val="clear" w:color="auto" w:fill="auto"/>
        </w:rPr>
      </w:pPr>
      <w:r>
        <w:rPr>
          <w:rFonts w:hint="eastAsia" w:ascii="宋体" w:hAnsi="宋体" w:eastAsia="宋体" w:cs="宋体"/>
          <w:b/>
          <w:bCs/>
          <w:color w:val="333333"/>
          <w:kern w:val="0"/>
          <w:sz w:val="28"/>
          <w:szCs w:val="28"/>
          <w:shd w:val="clear" w:color="auto" w:fill="auto"/>
        </w:rPr>
        <w:t>一、总则</w:t>
      </w:r>
    </w:p>
    <w:p>
      <w:pPr>
        <w:widowControl/>
        <w:shd w:val="clear" w:color="auto" w:fill="FFFFFF"/>
        <w:spacing w:line="560" w:lineRule="exact"/>
        <w:ind w:firstLine="640"/>
        <w:jc w:val="left"/>
        <w:rPr>
          <w:rFonts w:hint="eastAsia" w:ascii="宋体" w:hAnsi="宋体" w:eastAsia="宋体" w:cs="宋体"/>
          <w:color w:val="333333"/>
          <w:kern w:val="0"/>
          <w:sz w:val="28"/>
          <w:szCs w:val="28"/>
          <w:shd w:val="clear" w:color="auto" w:fill="auto"/>
        </w:rPr>
      </w:pPr>
      <w:r>
        <w:rPr>
          <w:rFonts w:hint="eastAsia" w:ascii="宋体" w:hAnsi="宋体" w:eastAsia="宋体" w:cs="宋体"/>
          <w:color w:val="333333"/>
          <w:kern w:val="0"/>
          <w:sz w:val="28"/>
          <w:szCs w:val="28"/>
          <w:shd w:val="clear" w:color="auto" w:fill="auto"/>
        </w:rPr>
        <w:t>第一条 课程替代是指学生修读非本专业人才培养方案所规定课程或在相同专业人才培养方案的不同平台课程，替换成本专业人才培养方案所规定的相关课程。</w:t>
      </w:r>
    </w:p>
    <w:p>
      <w:pPr>
        <w:widowControl/>
        <w:shd w:val="clear" w:color="auto" w:fill="FFFFFF"/>
        <w:spacing w:line="560" w:lineRule="exact"/>
        <w:ind w:firstLine="640"/>
        <w:jc w:val="left"/>
        <w:rPr>
          <w:rFonts w:hint="eastAsia" w:ascii="宋体" w:hAnsi="宋体" w:eastAsia="宋体" w:cs="宋体"/>
          <w:color w:val="333333"/>
          <w:kern w:val="0"/>
          <w:sz w:val="28"/>
          <w:szCs w:val="28"/>
          <w:shd w:val="clear" w:color="auto" w:fill="auto"/>
        </w:rPr>
      </w:pPr>
      <w:r>
        <w:rPr>
          <w:rFonts w:hint="eastAsia" w:ascii="宋体" w:hAnsi="宋体" w:eastAsia="宋体" w:cs="宋体"/>
          <w:color w:val="333333"/>
          <w:kern w:val="0"/>
          <w:sz w:val="28"/>
          <w:szCs w:val="28"/>
          <w:shd w:val="clear" w:color="auto" w:fill="auto"/>
        </w:rPr>
        <w:t>第二条 替代课程与被替代课程的课程性质、课程内容、教学要求相同或相近方可申请课程替代（课程属性相同或相近）。</w:t>
      </w:r>
    </w:p>
    <w:p>
      <w:pPr>
        <w:widowControl/>
        <w:shd w:val="clear" w:color="auto" w:fill="FFFFFF"/>
        <w:spacing w:line="560" w:lineRule="exact"/>
        <w:ind w:firstLine="640"/>
        <w:jc w:val="left"/>
        <w:rPr>
          <w:rFonts w:hint="eastAsia" w:ascii="宋体" w:hAnsi="宋体" w:eastAsia="宋体" w:cs="宋体"/>
          <w:color w:val="333333"/>
          <w:kern w:val="0"/>
          <w:sz w:val="28"/>
          <w:szCs w:val="28"/>
          <w:shd w:val="clear" w:color="auto" w:fill="auto"/>
        </w:rPr>
      </w:pPr>
      <w:r>
        <w:rPr>
          <w:rFonts w:hint="eastAsia" w:ascii="宋体" w:hAnsi="宋体" w:eastAsia="宋体" w:cs="宋体"/>
          <w:color w:val="333333"/>
          <w:kern w:val="0"/>
          <w:sz w:val="28"/>
          <w:szCs w:val="28"/>
          <w:shd w:val="clear" w:color="auto" w:fill="auto"/>
        </w:rPr>
        <w:t>第三条 替代课程规格不得低于原课程规格（包括：低学分课程不得替代高学分课程、选修课程不得替代必修课程、考查课程不得替代考试课程）。</w:t>
      </w:r>
    </w:p>
    <w:p>
      <w:pPr>
        <w:widowControl/>
        <w:shd w:val="clear" w:color="auto" w:fill="FFFFFF"/>
        <w:spacing w:line="560" w:lineRule="exact"/>
        <w:ind w:firstLine="640"/>
        <w:jc w:val="left"/>
        <w:rPr>
          <w:rFonts w:hint="eastAsia" w:ascii="宋体" w:hAnsi="宋体" w:eastAsia="宋体" w:cs="宋体"/>
          <w:color w:val="333333"/>
          <w:kern w:val="0"/>
          <w:sz w:val="28"/>
          <w:szCs w:val="28"/>
          <w:shd w:val="clear" w:color="auto" w:fill="auto"/>
        </w:rPr>
      </w:pPr>
      <w:r>
        <w:rPr>
          <w:rFonts w:hint="eastAsia" w:ascii="宋体" w:hAnsi="宋体" w:eastAsia="宋体" w:cs="宋体"/>
          <w:color w:val="333333"/>
          <w:kern w:val="0"/>
          <w:sz w:val="28"/>
          <w:szCs w:val="28"/>
          <w:shd w:val="clear" w:color="auto" w:fill="auto"/>
        </w:rPr>
        <w:t>第四条 已修课程原则上不得通过课程替代的方式申请重修。</w:t>
      </w:r>
    </w:p>
    <w:p>
      <w:pPr>
        <w:widowControl/>
        <w:shd w:val="clear" w:color="auto" w:fill="FFFFFF"/>
        <w:spacing w:line="560" w:lineRule="exact"/>
        <w:ind w:firstLine="643"/>
        <w:jc w:val="left"/>
        <w:rPr>
          <w:rFonts w:hint="eastAsia" w:ascii="宋体" w:hAnsi="宋体" w:eastAsia="宋体" w:cs="宋体"/>
          <w:color w:val="333333"/>
          <w:kern w:val="0"/>
          <w:sz w:val="28"/>
          <w:szCs w:val="28"/>
          <w:shd w:val="clear" w:color="auto" w:fill="auto"/>
        </w:rPr>
      </w:pPr>
      <w:r>
        <w:rPr>
          <w:rFonts w:hint="eastAsia" w:ascii="宋体" w:hAnsi="宋体" w:eastAsia="宋体" w:cs="宋体"/>
          <w:b/>
          <w:bCs/>
          <w:color w:val="333333"/>
          <w:kern w:val="0"/>
          <w:sz w:val="28"/>
          <w:szCs w:val="28"/>
          <w:shd w:val="clear" w:color="auto" w:fill="auto"/>
        </w:rPr>
        <w:t>二、课程替代的适用范围</w:t>
      </w:r>
    </w:p>
    <w:p>
      <w:pPr>
        <w:widowControl/>
        <w:shd w:val="clear" w:color="auto" w:fill="FFFFFF"/>
        <w:spacing w:line="560" w:lineRule="exact"/>
        <w:ind w:firstLine="640"/>
        <w:jc w:val="left"/>
        <w:rPr>
          <w:rFonts w:hint="eastAsia" w:ascii="宋体" w:hAnsi="宋体" w:eastAsia="宋体" w:cs="宋体"/>
          <w:color w:val="333333"/>
          <w:kern w:val="0"/>
          <w:sz w:val="28"/>
          <w:szCs w:val="28"/>
          <w:shd w:val="clear" w:color="auto" w:fill="auto"/>
        </w:rPr>
      </w:pPr>
      <w:r>
        <w:rPr>
          <w:rFonts w:hint="eastAsia" w:ascii="宋体" w:hAnsi="宋体" w:eastAsia="宋体" w:cs="宋体"/>
          <w:color w:val="333333"/>
          <w:kern w:val="0"/>
          <w:sz w:val="28"/>
          <w:szCs w:val="28"/>
          <w:shd w:val="clear" w:color="auto" w:fill="auto"/>
        </w:rPr>
        <w:t>第五条 由于培养方案调整，原课程停开而导致无法修读的课程。</w:t>
      </w:r>
    </w:p>
    <w:p>
      <w:pPr>
        <w:widowControl/>
        <w:shd w:val="clear" w:color="auto" w:fill="FFFFFF"/>
        <w:spacing w:line="560" w:lineRule="exact"/>
        <w:ind w:firstLine="640"/>
        <w:jc w:val="left"/>
        <w:rPr>
          <w:rFonts w:hint="eastAsia" w:ascii="宋体" w:hAnsi="宋体" w:eastAsia="宋体" w:cs="宋体"/>
          <w:color w:val="333333"/>
          <w:kern w:val="0"/>
          <w:sz w:val="28"/>
          <w:szCs w:val="28"/>
          <w:shd w:val="clear" w:color="auto" w:fill="auto"/>
        </w:rPr>
      </w:pPr>
      <w:r>
        <w:rPr>
          <w:rFonts w:hint="eastAsia" w:ascii="宋体" w:hAnsi="宋体" w:eastAsia="宋体" w:cs="宋体"/>
          <w:color w:val="333333"/>
          <w:kern w:val="0"/>
          <w:sz w:val="28"/>
          <w:szCs w:val="28"/>
          <w:shd w:val="clear" w:color="auto" w:fill="auto"/>
        </w:rPr>
        <w:t>第六条 由于转专业，已修读的与新专业课程属性相关的课程。</w:t>
      </w:r>
    </w:p>
    <w:p>
      <w:pPr>
        <w:widowControl/>
        <w:shd w:val="clear" w:color="auto" w:fill="FFFFFF"/>
        <w:spacing w:line="560" w:lineRule="exact"/>
        <w:ind w:firstLine="640"/>
        <w:jc w:val="left"/>
        <w:rPr>
          <w:rFonts w:hint="eastAsia" w:ascii="宋体" w:hAnsi="宋体" w:eastAsia="宋体" w:cs="宋体"/>
          <w:color w:val="333333"/>
          <w:kern w:val="0"/>
          <w:sz w:val="28"/>
          <w:szCs w:val="28"/>
          <w:shd w:val="clear" w:color="auto" w:fill="auto"/>
        </w:rPr>
      </w:pPr>
      <w:r>
        <w:rPr>
          <w:rFonts w:hint="eastAsia" w:ascii="宋体" w:hAnsi="宋体" w:eastAsia="宋体" w:cs="宋体"/>
          <w:color w:val="333333"/>
          <w:kern w:val="0"/>
          <w:sz w:val="28"/>
          <w:szCs w:val="28"/>
          <w:shd w:val="clear" w:color="auto" w:fill="auto"/>
        </w:rPr>
        <w:t>第七条 由于申请提前毕业需要修读的或需要重修的相关课程。</w:t>
      </w:r>
    </w:p>
    <w:p>
      <w:pPr>
        <w:widowControl/>
        <w:shd w:val="clear" w:color="auto" w:fill="FFFFFF"/>
        <w:spacing w:line="560" w:lineRule="exact"/>
        <w:ind w:firstLine="640"/>
        <w:jc w:val="left"/>
        <w:rPr>
          <w:rFonts w:hint="eastAsia" w:ascii="宋体" w:hAnsi="宋体" w:eastAsia="宋体" w:cs="宋体"/>
          <w:color w:val="333333"/>
          <w:kern w:val="0"/>
          <w:sz w:val="28"/>
          <w:szCs w:val="28"/>
          <w:shd w:val="clear" w:color="auto" w:fill="auto"/>
        </w:rPr>
      </w:pPr>
      <w:r>
        <w:rPr>
          <w:rFonts w:hint="eastAsia" w:ascii="宋体" w:hAnsi="宋体" w:eastAsia="宋体" w:cs="宋体"/>
          <w:color w:val="333333"/>
          <w:kern w:val="0"/>
          <w:sz w:val="28"/>
          <w:szCs w:val="28"/>
          <w:shd w:val="clear" w:color="auto" w:fill="auto"/>
        </w:rPr>
        <w:t>第八条 通识教育平台、创新创业平台、特色平台、个性化学习平台中的相关选修课程，以及网络课程。</w:t>
      </w:r>
    </w:p>
    <w:p>
      <w:pPr>
        <w:widowControl/>
        <w:shd w:val="clear" w:color="auto" w:fill="FFFFFF"/>
        <w:spacing w:line="560" w:lineRule="exact"/>
        <w:ind w:firstLine="643"/>
        <w:jc w:val="left"/>
        <w:rPr>
          <w:rFonts w:hint="eastAsia" w:ascii="宋体" w:hAnsi="宋体" w:eastAsia="宋体" w:cs="宋体"/>
          <w:color w:val="333333"/>
          <w:kern w:val="0"/>
          <w:sz w:val="28"/>
          <w:szCs w:val="28"/>
          <w:shd w:val="clear" w:color="auto" w:fill="auto"/>
        </w:rPr>
      </w:pPr>
      <w:r>
        <w:rPr>
          <w:rFonts w:hint="eastAsia" w:ascii="宋体" w:hAnsi="宋体" w:eastAsia="宋体" w:cs="宋体"/>
          <w:b/>
          <w:bCs/>
          <w:color w:val="333333"/>
          <w:kern w:val="0"/>
          <w:sz w:val="28"/>
          <w:szCs w:val="28"/>
          <w:shd w:val="clear" w:color="auto" w:fill="auto"/>
        </w:rPr>
        <w:t>三、学生出国（境）交流课程替代及成绩转换</w:t>
      </w:r>
    </w:p>
    <w:p>
      <w:pPr>
        <w:widowControl/>
        <w:shd w:val="clear" w:color="auto" w:fill="FFFFFF"/>
        <w:spacing w:line="560" w:lineRule="exact"/>
        <w:ind w:firstLine="640"/>
        <w:jc w:val="left"/>
        <w:rPr>
          <w:rFonts w:hint="eastAsia" w:ascii="宋体" w:hAnsi="宋体" w:eastAsia="宋体" w:cs="宋体"/>
          <w:color w:val="333333"/>
          <w:kern w:val="0"/>
          <w:sz w:val="28"/>
          <w:szCs w:val="28"/>
          <w:shd w:val="clear" w:color="auto" w:fill="auto"/>
        </w:rPr>
      </w:pPr>
      <w:r>
        <w:rPr>
          <w:rFonts w:hint="eastAsia" w:ascii="宋体" w:hAnsi="宋体" w:eastAsia="宋体" w:cs="宋体"/>
          <w:color w:val="333333"/>
          <w:kern w:val="0"/>
          <w:sz w:val="28"/>
          <w:szCs w:val="28"/>
          <w:shd w:val="clear" w:color="auto" w:fill="auto"/>
        </w:rPr>
        <w:t>第九条 学生在境外交流学习所修课程及学分按《安徽财经大学本科生赴国（境）外大学学习课程学分认定管理暂行办法》予以认定。</w:t>
      </w:r>
    </w:p>
    <w:p>
      <w:pPr>
        <w:widowControl/>
        <w:shd w:val="clear" w:color="auto" w:fill="FFFFFF"/>
        <w:spacing w:line="560" w:lineRule="exact"/>
        <w:ind w:firstLine="643"/>
        <w:jc w:val="left"/>
        <w:rPr>
          <w:rFonts w:hint="eastAsia" w:ascii="宋体" w:hAnsi="宋体" w:eastAsia="宋体" w:cs="宋体"/>
          <w:color w:val="333333"/>
          <w:kern w:val="0"/>
          <w:sz w:val="28"/>
          <w:szCs w:val="28"/>
          <w:shd w:val="clear" w:color="auto" w:fill="auto"/>
        </w:rPr>
      </w:pPr>
      <w:r>
        <w:rPr>
          <w:rFonts w:hint="eastAsia" w:ascii="宋体" w:hAnsi="宋体" w:eastAsia="宋体" w:cs="宋体"/>
          <w:b/>
          <w:bCs/>
          <w:color w:val="333333"/>
          <w:kern w:val="0"/>
          <w:sz w:val="28"/>
          <w:szCs w:val="28"/>
          <w:shd w:val="clear" w:color="auto" w:fill="auto"/>
        </w:rPr>
        <w:t>四、不允许课程替代的情况</w:t>
      </w:r>
    </w:p>
    <w:p>
      <w:pPr>
        <w:widowControl/>
        <w:shd w:val="clear" w:color="auto" w:fill="FFFFFF"/>
        <w:spacing w:line="560" w:lineRule="exact"/>
        <w:ind w:firstLine="640"/>
        <w:jc w:val="left"/>
        <w:rPr>
          <w:rFonts w:hint="eastAsia" w:ascii="宋体" w:hAnsi="宋体" w:eastAsia="宋体" w:cs="宋体"/>
          <w:color w:val="333333"/>
          <w:kern w:val="0"/>
          <w:sz w:val="28"/>
          <w:szCs w:val="28"/>
          <w:shd w:val="clear" w:color="auto" w:fill="auto"/>
        </w:rPr>
      </w:pPr>
      <w:r>
        <w:rPr>
          <w:rFonts w:hint="eastAsia" w:ascii="宋体" w:hAnsi="宋体" w:eastAsia="宋体" w:cs="宋体"/>
          <w:color w:val="333333"/>
          <w:kern w:val="0"/>
          <w:sz w:val="28"/>
          <w:szCs w:val="28"/>
          <w:shd w:val="clear" w:color="auto" w:fill="auto"/>
        </w:rPr>
        <w:t>第十条 基础课平台、专业课平台课程原则上不能替代。</w:t>
      </w:r>
    </w:p>
    <w:p>
      <w:pPr>
        <w:widowControl/>
        <w:shd w:val="clear" w:color="auto" w:fill="FFFFFF"/>
        <w:spacing w:line="560" w:lineRule="exact"/>
        <w:ind w:firstLine="640"/>
        <w:jc w:val="left"/>
        <w:rPr>
          <w:rFonts w:hint="eastAsia" w:ascii="宋体" w:hAnsi="宋体" w:eastAsia="宋体" w:cs="宋体"/>
          <w:color w:val="333333"/>
          <w:kern w:val="0"/>
          <w:sz w:val="28"/>
          <w:szCs w:val="28"/>
          <w:shd w:val="clear" w:color="auto" w:fill="auto"/>
        </w:rPr>
      </w:pPr>
      <w:r>
        <w:rPr>
          <w:rFonts w:hint="eastAsia" w:ascii="宋体" w:hAnsi="宋体" w:eastAsia="宋体" w:cs="宋体"/>
          <w:color w:val="333333"/>
          <w:kern w:val="0"/>
          <w:sz w:val="28"/>
          <w:szCs w:val="28"/>
          <w:shd w:val="clear" w:color="auto" w:fill="auto"/>
        </w:rPr>
        <w:t>第十一条 必须满足通识教育平台、创新创业平台、特色平台、个性化学习平台中最低修读学分要求。</w:t>
      </w:r>
    </w:p>
    <w:p>
      <w:pPr>
        <w:widowControl/>
        <w:shd w:val="clear" w:color="auto" w:fill="FFFFFF"/>
        <w:spacing w:line="560" w:lineRule="exact"/>
        <w:ind w:firstLine="643"/>
        <w:jc w:val="left"/>
        <w:rPr>
          <w:rFonts w:hint="eastAsia" w:ascii="宋体" w:hAnsi="宋体" w:eastAsia="宋体" w:cs="宋体"/>
          <w:b/>
          <w:bCs/>
          <w:color w:val="333333"/>
          <w:kern w:val="0"/>
          <w:sz w:val="28"/>
          <w:szCs w:val="28"/>
          <w:shd w:val="clear" w:color="auto" w:fill="auto"/>
        </w:rPr>
      </w:pPr>
    </w:p>
    <w:p>
      <w:pPr>
        <w:widowControl/>
        <w:shd w:val="clear" w:color="auto" w:fill="FFFFFF"/>
        <w:spacing w:line="560" w:lineRule="exact"/>
        <w:ind w:firstLine="643"/>
        <w:jc w:val="left"/>
        <w:rPr>
          <w:rFonts w:hint="eastAsia" w:ascii="宋体" w:hAnsi="宋体" w:eastAsia="宋体" w:cs="宋体"/>
          <w:b/>
          <w:bCs/>
          <w:color w:val="333333"/>
          <w:kern w:val="0"/>
          <w:sz w:val="28"/>
          <w:szCs w:val="28"/>
          <w:shd w:val="clear" w:color="auto" w:fill="auto"/>
        </w:rPr>
      </w:pPr>
    </w:p>
    <w:p>
      <w:pPr>
        <w:widowControl/>
        <w:shd w:val="clear" w:color="auto" w:fill="FFFFFF"/>
        <w:spacing w:line="560" w:lineRule="exact"/>
        <w:ind w:firstLine="643"/>
        <w:jc w:val="left"/>
        <w:rPr>
          <w:rFonts w:hint="eastAsia" w:ascii="宋体" w:hAnsi="宋体" w:eastAsia="宋体" w:cs="宋体"/>
          <w:b/>
          <w:bCs/>
          <w:color w:val="333333"/>
          <w:kern w:val="0"/>
          <w:sz w:val="28"/>
          <w:szCs w:val="28"/>
          <w:shd w:val="clear" w:color="auto" w:fill="auto"/>
        </w:rPr>
      </w:pPr>
    </w:p>
    <w:p>
      <w:pPr>
        <w:widowControl/>
        <w:shd w:val="clear" w:color="auto" w:fill="FFFFFF"/>
        <w:spacing w:line="560" w:lineRule="exact"/>
        <w:ind w:firstLine="643"/>
        <w:jc w:val="left"/>
        <w:rPr>
          <w:rFonts w:hint="eastAsia" w:ascii="宋体" w:hAnsi="宋体" w:eastAsia="宋体" w:cs="宋体"/>
          <w:b/>
          <w:bCs/>
          <w:color w:val="333333"/>
          <w:kern w:val="0"/>
          <w:sz w:val="28"/>
          <w:szCs w:val="28"/>
          <w:shd w:val="clear" w:color="auto" w:fill="auto"/>
        </w:rPr>
      </w:pPr>
    </w:p>
    <w:p>
      <w:pPr>
        <w:widowControl/>
        <w:shd w:val="clear" w:color="auto" w:fill="FFFFFF"/>
        <w:spacing w:line="560" w:lineRule="exact"/>
        <w:ind w:firstLine="643"/>
        <w:jc w:val="left"/>
        <w:rPr>
          <w:rFonts w:hint="eastAsia" w:ascii="宋体" w:hAnsi="宋体" w:eastAsia="宋体" w:cs="宋体"/>
          <w:color w:val="333333"/>
          <w:kern w:val="0"/>
          <w:sz w:val="28"/>
          <w:szCs w:val="28"/>
          <w:shd w:val="clear" w:color="auto" w:fill="auto"/>
        </w:rPr>
      </w:pPr>
      <w:r>
        <w:rPr>
          <w:rFonts w:hint="eastAsia" w:ascii="宋体" w:hAnsi="宋体" w:eastAsia="宋体" w:cs="宋体"/>
          <w:color w:val="333333"/>
          <w:kern w:val="0"/>
          <w:sz w:val="28"/>
          <w:szCs w:val="28"/>
          <w:shd w:val="clear" w:color="auto" w:fill="auto"/>
        </w:rPr>
        <w:t xml:space="preserve">              </w:t>
      </w:r>
    </w:p>
    <w:p>
      <w:pPr>
        <w:widowControl/>
        <w:shd w:val="clear" w:color="auto" w:fill="FFFFFF"/>
        <w:spacing w:line="560" w:lineRule="exact"/>
        <w:ind w:firstLine="6160" w:firstLineChars="2200"/>
        <w:jc w:val="left"/>
        <w:rPr>
          <w:rFonts w:hint="eastAsia" w:ascii="宋体" w:hAnsi="宋体" w:eastAsia="宋体" w:cs="宋体"/>
          <w:color w:val="333333"/>
          <w:kern w:val="0"/>
          <w:sz w:val="28"/>
          <w:szCs w:val="28"/>
          <w:shd w:val="clear" w:color="auto" w:fill="auto"/>
        </w:rPr>
      </w:pPr>
      <w:r>
        <w:rPr>
          <w:rFonts w:hint="eastAsia" w:ascii="宋体" w:hAnsi="宋体" w:eastAsia="宋体" w:cs="宋体"/>
          <w:color w:val="333333"/>
          <w:kern w:val="0"/>
          <w:sz w:val="28"/>
          <w:szCs w:val="28"/>
          <w:shd w:val="clear" w:color="auto" w:fill="auto"/>
        </w:rPr>
        <w:t xml:space="preserve"> </w:t>
      </w:r>
      <w:r>
        <w:rPr>
          <w:rFonts w:hint="eastAsia" w:ascii="宋体" w:hAnsi="宋体" w:eastAsia="宋体" w:cs="宋体"/>
          <w:color w:val="333333"/>
          <w:kern w:val="0"/>
          <w:sz w:val="28"/>
          <w:szCs w:val="28"/>
          <w:shd w:val="clear" w:color="auto" w:fill="auto"/>
          <w:lang w:val="en-US" w:eastAsia="zh-CN"/>
        </w:rPr>
        <w:t xml:space="preserve"> </w:t>
      </w:r>
      <w:r>
        <w:rPr>
          <w:rFonts w:hint="eastAsia" w:ascii="宋体" w:hAnsi="宋体" w:eastAsia="宋体" w:cs="宋体"/>
          <w:color w:val="333333"/>
          <w:kern w:val="0"/>
          <w:sz w:val="28"/>
          <w:szCs w:val="28"/>
          <w:shd w:val="clear" w:color="auto" w:fill="auto"/>
        </w:rPr>
        <w:t>教务处</w:t>
      </w:r>
    </w:p>
    <w:p>
      <w:pPr>
        <w:widowControl/>
        <w:shd w:val="clear" w:color="auto" w:fill="FFFFFF"/>
        <w:spacing w:line="560" w:lineRule="exact"/>
        <w:ind w:firstLine="5920"/>
        <w:jc w:val="left"/>
        <w:rPr>
          <w:rFonts w:hint="eastAsia" w:ascii="宋体" w:hAnsi="宋体" w:eastAsia="宋体" w:cs="宋体"/>
          <w:color w:val="333333"/>
          <w:kern w:val="0"/>
          <w:sz w:val="28"/>
          <w:szCs w:val="28"/>
          <w:shd w:val="clear" w:color="auto" w:fill="auto"/>
        </w:rPr>
      </w:pPr>
      <w:r>
        <w:rPr>
          <w:rFonts w:hint="eastAsia" w:ascii="宋体" w:hAnsi="宋体" w:eastAsia="宋体" w:cs="宋体"/>
          <w:color w:val="333333"/>
          <w:kern w:val="0"/>
          <w:sz w:val="28"/>
          <w:szCs w:val="28"/>
          <w:shd w:val="clear" w:color="auto" w:fill="auto"/>
        </w:rPr>
        <w:t>201</w:t>
      </w:r>
      <w:r>
        <w:rPr>
          <w:rFonts w:hint="eastAsia" w:ascii="宋体" w:hAnsi="宋体" w:eastAsia="宋体" w:cs="宋体"/>
          <w:color w:val="333333"/>
          <w:kern w:val="0"/>
          <w:sz w:val="28"/>
          <w:szCs w:val="28"/>
          <w:shd w:val="clear" w:color="auto" w:fill="auto"/>
          <w:lang w:val="en-US" w:eastAsia="zh-CN"/>
        </w:rPr>
        <w:t>9</w:t>
      </w:r>
      <w:r>
        <w:rPr>
          <w:rFonts w:hint="eastAsia" w:ascii="宋体" w:hAnsi="宋体" w:eastAsia="宋体" w:cs="宋体"/>
          <w:color w:val="333333"/>
          <w:kern w:val="0"/>
          <w:sz w:val="28"/>
          <w:szCs w:val="28"/>
          <w:shd w:val="clear" w:color="auto" w:fill="auto"/>
        </w:rPr>
        <w:t>年</w:t>
      </w:r>
      <w:r>
        <w:rPr>
          <w:rFonts w:hint="eastAsia" w:ascii="宋体" w:hAnsi="宋体" w:eastAsia="宋体" w:cs="宋体"/>
          <w:color w:val="333333"/>
          <w:kern w:val="0"/>
          <w:sz w:val="28"/>
          <w:szCs w:val="28"/>
          <w:shd w:val="clear" w:color="auto" w:fill="auto"/>
          <w:lang w:val="en-US" w:eastAsia="zh-CN"/>
        </w:rPr>
        <w:t>8</w:t>
      </w:r>
      <w:r>
        <w:rPr>
          <w:rFonts w:hint="eastAsia" w:ascii="宋体" w:hAnsi="宋体" w:eastAsia="宋体" w:cs="宋体"/>
          <w:color w:val="333333"/>
          <w:kern w:val="0"/>
          <w:sz w:val="28"/>
          <w:szCs w:val="28"/>
          <w:shd w:val="clear" w:color="auto" w:fill="auto"/>
        </w:rPr>
        <w:t>月</w:t>
      </w:r>
      <w:r>
        <w:rPr>
          <w:rFonts w:hint="eastAsia" w:ascii="宋体" w:hAnsi="宋体" w:eastAsia="宋体" w:cs="宋体"/>
          <w:color w:val="333333"/>
          <w:kern w:val="0"/>
          <w:sz w:val="28"/>
          <w:szCs w:val="28"/>
          <w:shd w:val="clear" w:color="auto" w:fill="auto"/>
          <w:lang w:val="en-US" w:eastAsia="zh-CN"/>
        </w:rPr>
        <w:t>30</w:t>
      </w:r>
      <w:r>
        <w:rPr>
          <w:rFonts w:hint="eastAsia" w:ascii="宋体" w:hAnsi="宋体" w:eastAsia="宋体" w:cs="宋体"/>
          <w:color w:val="333333"/>
          <w:kern w:val="0"/>
          <w:sz w:val="28"/>
          <w:szCs w:val="28"/>
          <w:shd w:val="clear" w:color="auto" w:fill="auto"/>
        </w:rPr>
        <w:t>日</w:t>
      </w:r>
      <w:r>
        <w:rPr>
          <w:rFonts w:hint="eastAsia" w:ascii="宋体" w:hAnsi="宋体" w:eastAsia="宋体" w:cs="宋体"/>
          <w:color w:val="000000"/>
          <w:kern w:val="0"/>
          <w:sz w:val="28"/>
          <w:szCs w:val="28"/>
          <w:shd w:val="clear" w:color="auto" w:fill="auto"/>
        </w:rPr>
        <w:t>　　　　　　　　　　　</w:t>
      </w:r>
    </w:p>
    <w:p>
      <w:pPr>
        <w:rPr>
          <w:rFonts w:hint="eastAsia" w:ascii="宋体" w:hAnsi="宋体" w:eastAsia="宋体" w:cs="宋体"/>
          <w:sz w:val="28"/>
          <w:szCs w:val="28"/>
          <w:shd w:val="clear" w:color="auto" w:fill="auto"/>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E7"/>
    <w:rsid w:val="000F0CDD"/>
    <w:rsid w:val="00DE52E7"/>
    <w:rsid w:val="0E5B6C23"/>
    <w:rsid w:val="68AB3933"/>
    <w:rsid w:val="7A170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112</Words>
  <Characters>642</Characters>
  <Lines>5</Lines>
  <Paragraphs>1</Paragraphs>
  <TotalTime>2</TotalTime>
  <ScaleCrop>false</ScaleCrop>
  <LinksUpToDate>false</LinksUpToDate>
  <CharactersWithSpaces>753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2019-02-23T03:08:00Z</dcterms:created>
  <dc:creator>PC</dc:creator>
  <cp:lastModifiedBy>1</cp:lastModifiedBy>
  <dcterms:modified xsi:type="dcterms:W3CDTF">2019-08-29T07:43:00Z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